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298D" w:rsidRPr="001C298D" w:rsidTr="00B72463">
        <w:tc>
          <w:tcPr>
            <w:tcW w:w="9570" w:type="dxa"/>
          </w:tcPr>
          <w:p w:rsidR="001C298D" w:rsidRPr="001C298D" w:rsidRDefault="001C298D" w:rsidP="001C298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E6EA25" wp14:editId="2EB15DD7">
                  <wp:extent cx="504825" cy="609600"/>
                  <wp:effectExtent l="19050" t="0" r="9525" b="0"/>
                  <wp:docPr id="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98D" w:rsidRPr="001C298D" w:rsidRDefault="001C298D" w:rsidP="001C298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1C298D" w:rsidRPr="001C298D" w:rsidRDefault="001C298D" w:rsidP="001C298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1C298D" w:rsidRPr="001C298D" w:rsidRDefault="001C298D" w:rsidP="001C298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1C298D" w:rsidRPr="001C298D" w:rsidRDefault="001C298D" w:rsidP="001C298D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10.02.2023                                                                                        № 81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отчета главы муниципального образования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2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2022 год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В соответствии со статьей 22 Устава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Совет депутатов решил: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 Работу  главы и администрации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 2022 год признать удовлетворительной.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2. Настоящее решение вступает в силу со дня принятия.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С.С.Губарева</w:t>
      </w:r>
      <w:proofErr w:type="spellEnd"/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1C2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Э.Н.Косынко</w:t>
      </w:r>
      <w:proofErr w:type="spellEnd"/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 уважаемые коллеги и гости!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Организационная структура </w:t>
      </w:r>
      <w:r w:rsidRPr="001C29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района Оренбургской области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 В соответствии с Федеральным законом № 131 от 06.10.2003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глава администрации муниципального образования представляет ежегодный отчет о своей работе и деятельности администрации  за прошедший год. Это позволяет увидеть результаты работы за прошедший период, наметить планы и поставить основные задачи на  следующий год.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деятельности Администрации муниципального образования определяется Положением и Уставом. Администрация муниципального образования в пределах своей компетенции обеспечивает выполнение задач по социально-экономическому развитию муниципального образования, организует исполнение Конституции РФ на его территории, законов и иных нормативно-правовых актов Российской Федерации и Оренбургской области.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разрабатывает проекты местного бюджета, планы, программы, проекты решений, представляемые главой администрации на рассмотрение Совета депутатов.  Администрация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исполняет местный бюджет и представляет на утверждение Совета депутатов отчет о его исполнении, исполняет решения Совета депутатов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области, а также осуществляет  полномочия по решению вопросов местного значения.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— муниципальное учреждение, 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 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Возглавляет администрацию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глава администрации. 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Органы местного самоуправления  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выполняют обязанности по решению: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На уровень муниципального района  в 2022 году были переданы следующие вопросы местного значения поселения: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   1.1 по ведению учета и </w:t>
      </w:r>
      <w:proofErr w:type="gramStart"/>
      <w:r w:rsidRPr="001C298D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исполнением бюджета поселения;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   1.2 по осуществлению внешнего муниципального финансового контроля;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   1.3 по осуществлению внутреннего муниципального финансового контроля;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   1.4 по подготовке документов по проведению конкурсов и аукционов, заключению договоров аренды и купли-продажи;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   1.5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- по решению вопросов кадрового обеспечения библиотек                                    </w:t>
      </w:r>
      <w:proofErr w:type="gramStart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C298D">
        <w:rPr>
          <w:rFonts w:ascii="Times New Roman" w:eastAsia="Calibri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и решения хозяйственных вопросов);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1.6 по организации работы сельского Дома культуры на территории сельского поселения (за исключением наделения СДК движимым и недвижимым имуществом);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- по решению вопросов кадрового обеспечения сельского Дома культуры                        </w:t>
      </w:r>
      <w:proofErr w:type="gramStart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C298D">
        <w:rPr>
          <w:rFonts w:ascii="Times New Roman" w:eastAsia="Calibri" w:hAnsi="Times New Roman" w:cs="Times New Roman"/>
          <w:sz w:val="28"/>
          <w:szCs w:val="28"/>
        </w:rPr>
        <w:t>за исключением техперсонала, полномочий по согласованию кандидатур на замещение вакансий в СДК и решения хозяйственных вопросов).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  1.7 по выдаче разрешений на строительство </w:t>
      </w:r>
      <w:proofErr w:type="gramStart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объектов, капитального строительства, расположенных на территории поселения, утверждению местных нормативов градостроительного проектирования поселения; по резервированию земель и изъятию, в том числе путем выкупа, земельных участков в границах поселения для муниципальных нужд; по осуществлению муниципального земельного контроля; 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 1.8  по организации проведения муниципальных официальных физкультурных и спортивных мероприятий, а также организации физкультурн</w:t>
      </w:r>
      <w:proofErr w:type="gramStart"/>
      <w:r w:rsidRPr="001C298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спортивной работы по месту жительства граждан;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1.9 по представлению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      1.10 по осуществлению муниципального контроля в сфере благоустройства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Основные вопросы, которые всегда затрагивались в отчетах администрации за предыдущие периоды  — это исполнение бюджета по доходам и расходам, исполнение полномочий по решению вопросов местного значения.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Прозрачность работы администрации, в соответствии с требованиями 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законодательства освещалось нами в средствах массовой информации и на официальном сайте поселения.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Подводя итоги 2022 года, постараюсь остановиться на основных делах и программах, над которыми работала администрация.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ОБЩИЕ СВЕДЕНИЯ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Территория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составляет 849,9 га.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данным последней переписи населения  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проживает 1935 человек.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состав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входит 2 населенных пунктов:</w:t>
      </w:r>
    </w:p>
    <w:p w:rsidR="001C298D" w:rsidRPr="001C298D" w:rsidRDefault="001C298D" w:rsidP="001C298D">
      <w:pPr>
        <w:numPr>
          <w:ilvl w:val="0"/>
          <w:numId w:val="1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.З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аглядино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C298D" w:rsidRPr="001C298D" w:rsidRDefault="001C298D" w:rsidP="001C298D">
      <w:pPr>
        <w:numPr>
          <w:ilvl w:val="0"/>
          <w:numId w:val="1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.О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тделение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В 2022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Работа администрации  в 2022 году обеспечивалась численным составом  работников  администрации – 5 человек,  из которых  численность муниципальных служащих, включая главу администрации, —  4 человека.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Свою работу администрация строила исходя из главных направлений социально-экономического развития поселения, 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и Оренбургской области.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Работа администрации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  СД,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Для оказания 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Большая работа проведена по переселению  граждан из аварийного жилья.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Работа с обращениями граждан — одно из основных направлений работы администрации.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Анализ характера поступивших обращений показал, что чаще всего в обращениях граждан поднимались  вопросы о вывозе ТКО,  уличного 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освещения, содержание  и ремонт дорог местного значения  поселения, вопросы жилищно-коммунального хозяйства.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ответы на письма и запросы органов власти и организаций их количество составило  291. Уполномоченные представители администрации принимали участие в  судебных заседаниях.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Нормативно-правовые акты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Администрацией 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за 2022 год  подготовлено и принято 168  постановлений,   33 распоряжения по основной деятельности, а также  разработано  11 проектов   решений, которые приняты и утверждены.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Все  принимаемые органами местного самоуправления нормативные  правовые акты ежемесячно направляются в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Асекеевскую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районную прокуратуру на экспертизу на предмет законности и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коррупциогенности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все принятые нормативные правовые акты направляются для включения в  Регистр нормативно-правовых актов органов местного самоуправления Оренбургской области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размещается на официальном сайте: http://заглядино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.р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ф/, чем обеспечивается открытость и прозрачность деятельности органов местного самоуправления.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У жителей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Администрацией и советом депутатов осуществляются меры по  противодействию коррупции  в границах населенных пунктов, для этого создана и работает комиссия по противодействию коррупции и урегулированию конфликта интересов на муниципальной службе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.. 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Ежегодно глава МО и  депутаты подают сведения о своих доходах и имущественных обязательствах, и они размещаются в сети Интернет. Регулярно проводится мониторинг соблюдения действующего законодательства по противодействию коррупции. Проводится 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 муниципальных служащих по вопросам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противодействия коррупции.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Нотариальные действия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В связи с отсутствием  на территории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нотариуса, ответственными специалистами органов местного самоуправления совершаются нотариальные действия, в порядке, установленном  действующим законодательством.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В 2022 году было совершено    15 нотариальных действий  по обращениям граждан. Удостоверенные документы внесены в Федеральный реестр нотариальных действий.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В связи с изменением  федерального  законодательства, в  поселении  теперь не осуществляется  удостоверение доверенностей на распоряжение имуществом и завещаний. Для этого нужно обращаться в нотариальную контору.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Администрацией исполнялись 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отдельные государственные полномочия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  воинскому учету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военнообязанных граждан пребывающих в запасе, и граждан, подлежащих призыву на военную службу в Вооруженных силах Российской Федерации.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На протяжении года  проводилась работа с гражданами по постановке и снятию  с воинского учета, постановка на первичный воинский учет.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В 2022 году на воинский учет было принято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12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чел., снято с учета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5 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чел.                 Всего на воинском учете на 01 января  2023 года состоит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500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2022 году для прохождения срочной военной службы из числа призывников в Российскую армию призваны 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чел.</w:t>
      </w:r>
      <w:proofErr w:type="gramEnd"/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Местному бюджету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из  федерального и областного бюджета Оренбургской области в 2022 году были предоставлены  субсидии на реализацию следующих  проектов: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</w:t>
      </w: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Переселение граждан муниципального образования </w:t>
      </w:r>
      <w:proofErr w:type="spellStart"/>
      <w:r w:rsidRPr="001C298D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1C298D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из аварийного жилищного фонда» на 2019-2023 годы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По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очтовая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д.9,  6 квартир расселено, 7 человек;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По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очтовая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д.17, 1 квартира расселена, 1  человек.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Капитальный ремонт мемориала в память о погибших на ВОВ;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—Капитальный ремонт водопровода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олодежная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.- 760 метров;      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Эти проекты успешно реализованы в прошлом году.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Содержание и ремонт дорог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       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Общая протяженность автомобильных дорог муниципального образования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Заглядинский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Асекеевского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Оренбургской области  местного значения общего пользования в границах населенных пунктов составляет  14,162  км.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Ежегодно  производится ремонт  дорог местного значения.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Реформа по обращению с ТКО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С  2019 года у нас  в стране  проводится реформа по обращению с  твердыми коммунальными отходами. Появилась новая коммунальная услуга по вывозу ТКО, и теперь каждый  собственник жилого помещения, жилого дома, земельного участка  обязан оплачивать  услугу по вывозу ТКО.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В их обязанности входит обеспечение вывоза мусора с мест накопления отходов – контейнерных площадок.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За создание   мест накопления и их содержание  несут ответственность    органы местного самоуправления, кроме   случаев, установленных действующим законодательством.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Пожарная безопасность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В целях  обеспечения первичных мер пожарной безопасности на территории поселения в 2022 году велись профилактические мероприятия по предупреждению пожаров, гибели и травматизма людей при пожарах.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Были проведены обследования  противопожарного состояния жилых помещений отдельных категорий граждан, инструктажи населения, проживающего в  деревянных домах частного сектора, имеющих печное отопление. Особое внимание уделялось  при этом местам проживания социально незащищенных слоев населения. Вручено памяток населению с января по декабрь- 2920 </w:t>
      </w:r>
      <w:proofErr w:type="spellStart"/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</w:t>
      </w:r>
      <w:proofErr w:type="spellEnd"/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Культура, молодежная политика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2022 год был насыщен проведением культурно-массовых мероприятий для всех возрастных категорий населения. За 2022 год было проведено 219 мероприятий из них: 179 в СДК   и 40 мероприятий в библиотеке.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 Реализация молодежной политики в поселение осуществлялась по направлениям: привлечение молодежи к активному участию в общественной жизни. Гражданское, патриотическое воспитание молодежи. Формирование здорового образа жизни. Развитие художественного творчества и поддержка талантливой молодежи.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</w:t>
      </w: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ИСПОЛНЕНИЕ БЮДЖЕТА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Одной из главных задач исполнительной власти является своевременное и грамотное распоряжение средствами бюджета.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Прогноз собственных доходов бюджета поселения на 2022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Доходная часть  местного бюджета  муниципального образования на 01.01.2023 года определялась суммой 20 162 600,00 руб., факт отчетного периода составил 21 800 800,00 руб. Исполнение бюджета по доходной части составило 108 %.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Расходная часть бюджета на 01.01.2023 года определялась суммой  20 241 400,00 руб., факт отчетного периода составил 19 749 400,00 руб. Исполнение бюджета по расходной  части составило 97,6 %.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Остановимся на постатейно  исполнение бюджета: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10"/>
        <w:gridCol w:w="9628"/>
        <w:gridCol w:w="306"/>
        <w:gridCol w:w="306"/>
        <w:gridCol w:w="665"/>
      </w:tblGrid>
      <w:tr w:rsidR="001C298D" w:rsidRPr="001C298D" w:rsidTr="00B72463">
        <w:tc>
          <w:tcPr>
            <w:tcW w:w="11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96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298D" w:rsidRPr="001C298D" w:rsidRDefault="001C298D" w:rsidP="001C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C298D" w:rsidRPr="001C298D" w:rsidRDefault="001C298D" w:rsidP="001C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C298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Исполнение доходной и расходной частей бюджета</w:t>
            </w:r>
          </w:p>
          <w:p w:rsidR="001C298D" w:rsidRPr="001C298D" w:rsidRDefault="001C298D" w:rsidP="001C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C298D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за 2022 год</w:t>
            </w:r>
          </w:p>
        </w:tc>
        <w:tc>
          <w:tcPr>
            <w:tcW w:w="3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C298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1C298D" w:rsidRPr="001C298D" w:rsidRDefault="001C298D" w:rsidP="001C2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Доходы </w:t>
            </w: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</w:t>
            </w:r>
            <w:proofErr w:type="spellEnd"/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Налог на доходы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иц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2745,6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Единый 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сельхоз налог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1619,5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Земельный налог                                                                                               933,3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Налог на имущество                                                                                         114,4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ошлина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1,9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Арендная плата за имущество                                                                        109,2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Акцизы                                                                                                               753,0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Доходы от оказания платных услуг                                                               67,2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Инициативные платежи</w:t>
            </w: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-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Штрафы, санкции                                                                                              -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собств. доходов                                                                                    6344,1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Безвозмездные поступления, в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Дотация                                                                                                            5596,4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Субсидии бюджетам населений на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капитальных вложений в объекты муниципальной собственности                                                   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Субвенция на воинский учет                                                                          278,0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Субсидии бюджетам на поддержку отрасли культуры                              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Межбюджетные трансферты                                                                           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Прочие субсидии                                                                                            7279,1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Субсидии на реконструкцию водопровода                                               1503,2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Безвозмездные поступления                                                                          800,0      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Итого                                                                                                             15456,7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ДОХОДОВ                                                                                      21800,8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главы                                                                                            770,2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аппарата                                                                                     2606,0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бслуживание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газовых приборов, ремонт компьютерной техники   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Благоустройство    всего                                                                              14153,2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уличное освещение                                                                                458,0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Замена ламп и светильников, Тех. Обслуживание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свещения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электромонтажные работы                                                                              130,0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Содержание дорог                                                                                    1516,1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емонт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улично-дорожной сети                                                       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Прочие мероприятия (Сбор и вывоз мусора, захоронение свалки мусора, зарплата мусорщиков и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косильщиков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ремонт памятника, ремонт водопровода, кадастровые работы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,)</w:t>
            </w:r>
            <w:proofErr w:type="gramEnd"/>
          </w:p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C29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4642,9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Коммунальное хозяйство.                                                                            2062,5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мест захоронения                                                                         13,5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СДК и библиотеки                                                                    1205,0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Физкультура и спорт                                                                                          62,5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Воинский учет                                                                                                  278,0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Переселение</w:t>
            </w: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>5330,2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Услуги  </w:t>
            </w:r>
            <w:proofErr w:type="spell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бух</w:t>
            </w:r>
            <w:proofErr w:type="gramStart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.у</w:t>
            </w:r>
            <w:proofErr w:type="gram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чета</w:t>
            </w:r>
            <w:proofErr w:type="spellEnd"/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262,5</w:t>
            </w:r>
          </w:p>
        </w:tc>
      </w:tr>
      <w:tr w:rsidR="001C298D" w:rsidRPr="001C298D" w:rsidTr="00B72463">
        <w:tc>
          <w:tcPr>
            <w:tcW w:w="9571" w:type="dxa"/>
          </w:tcPr>
          <w:p w:rsidR="001C298D" w:rsidRPr="001C298D" w:rsidRDefault="001C298D" w:rsidP="001C2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9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 расходов                                                                                            19749,4</w:t>
            </w:r>
          </w:p>
        </w:tc>
      </w:tr>
    </w:tbl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1C29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Основные мероприятия, запланированные на 2023 год: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-переселение граждан муниципального образования </w:t>
      </w:r>
      <w:proofErr w:type="spellStart"/>
      <w:r w:rsidRPr="001C298D">
        <w:rPr>
          <w:rFonts w:ascii="Times New Roman" w:eastAsia="Calibri" w:hAnsi="Times New Roman" w:cs="Times New Roman"/>
          <w:sz w:val="28"/>
          <w:szCs w:val="28"/>
        </w:rPr>
        <w:t>Заглядинский</w:t>
      </w:r>
      <w:proofErr w:type="spellEnd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1C298D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1C298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из аварийного жилищного фонда» на 2019-2023 годы</w:t>
      </w: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.П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очтовая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д.15; 2 квартиры, 2 человека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ул. Почтовая д.17; 1 квартира, 3 человека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-капитальный ремонт водопровода по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</w:t>
      </w:r>
      <w:proofErr w:type="gram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.Ф</w:t>
      </w:r>
      <w:proofErr w:type="gram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урманова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ул.Партизанская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ст.Заглядино</w:t>
      </w:r>
      <w:proofErr w:type="spellEnd"/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390 метров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 В 2023 году органами местного самоуправления  особое внимание будет уделяться  работе по  привлечению и увеличению собственных доходов в бюджет поселения. 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Также будут создаваться условия  для участия поселения в федеральных и региональных программах для  привлечения средств из регионального бюджета в местный бюджет поселения для решения вопросов местного значения.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Выполнение поставленных задач возможно лишь при тесном взаимодействии  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D" w:rsidRPr="001C298D" w:rsidRDefault="001C298D" w:rsidP="001C298D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29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Спасибо за внимание!</w:t>
      </w: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8D" w:rsidRPr="001C298D" w:rsidRDefault="001C298D" w:rsidP="001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33" w:rsidRDefault="00593033">
      <w:bookmarkStart w:id="0" w:name="_GoBack"/>
      <w:bookmarkEnd w:id="0"/>
    </w:p>
    <w:sectPr w:rsidR="005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38BC"/>
    <w:multiLevelType w:val="multilevel"/>
    <w:tmpl w:val="A074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6E"/>
    <w:rsid w:val="001C298D"/>
    <w:rsid w:val="00593033"/>
    <w:rsid w:val="006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18615</Characters>
  <Application>Microsoft Office Word</Application>
  <DocSecurity>0</DocSecurity>
  <Lines>155</Lines>
  <Paragraphs>43</Paragraphs>
  <ScaleCrop>false</ScaleCrop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2023-03-03T09:17:00Z</dcterms:created>
  <dcterms:modified xsi:type="dcterms:W3CDTF">2023-03-03T09:17:00Z</dcterms:modified>
</cp:coreProperties>
</file>